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 w:line="240" w:lineRule="auto"/>
        <w:ind w:left="0" w:right="0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  <w:br/>
        <w:t xml:space="preserve">Правительства Белгородской области </w:t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18 октября 2021 года № 470-пп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tabs>
          <w:tab w:val="clear" w:pos="708" w:leader="none"/>
          <w:tab w:val="left" w:pos="5820" w:leader="none"/>
        </w:tabs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tabs>
          <w:tab w:val="clear" w:pos="708" w:leader="none"/>
          <w:tab w:val="left" w:pos="5820" w:leader="none"/>
        </w:tabs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fill="ffffff"/>
        <w:spacing w:before="0" w:after="0" w:line="240" w:lineRule="auto"/>
        <w:ind w:left="0" w:right="0" w:firstLine="709"/>
        <w:contextualSpacing w:val="0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от 31 июля 2020 года № 248-ФЗ «</w:t>
      </w:r>
      <w:r>
        <w:rPr>
          <w:rFonts w:ascii="Times New Roman" w:hAnsi="Times New Roman"/>
          <w:sz w:val="28"/>
          <w:szCs w:val="28"/>
        </w:rPr>
        <w:t xml:space="preserve">О государственном контроле (надзоре) и муниципальном контроле </w:t>
        <w:br/>
        <w:t xml:space="preserve">в Российской Федерации»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Правительство Белгородской области</w:t>
      </w:r>
      <w:r>
        <w:rPr>
          <w:rFonts w:ascii="Times New Roman" w:hAnsi="Times New Roman"/>
          <w:b/>
          <w:sz w:val="28"/>
          <w:szCs w:val="28"/>
        </w:rPr>
        <w:br/>
        <w:t xml:space="preserve">п о с т а н о в л я е т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pStyle w:val="873"/>
        <w:numPr>
          <w:numId w:val="93"/>
          <w:ilvl w:val="0"/>
        </w:num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40" w:lineRule="auto"/>
        <w:ind w:left="0" w:right="0" w:firstLine="709"/>
        <w:contextualSpacing w:val="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Внести следующие изменения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 Правительства Белгородской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12" w:tooltip="https://internet.garant.ru/document/redirect/402958486/0" w:history="1">
        <w:r>
          <w:rPr>
            <w:rFonts w:ascii="Times New Roman" w:hAnsi="Times New Roman"/>
            <w:sz w:val="28"/>
            <w:szCs w:val="28"/>
          </w:rPr>
          <w:t xml:space="preserve">от 18 октября 2021 года № 470-пп «Об утверждении Положения о региональном государственном контроле (надзоре) </w:t>
          <w:br/>
          <w:t xml:space="preserve">на автомобильном транспорте, городском наземном электрическом транспорте и в дорожном хозяйстве на территории Белгородской области</w:t>
        </w:r>
      </w:hyperlink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»: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pStyle w:val="873"/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40" w:lineRule="auto"/>
        <w:ind w:left="0" w:right="0" w:firstLine="709"/>
        <w:contextualSpacing w:val="0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 пункт 3 постановления изложить в следующей редакции:</w:t>
      </w:r>
      <w:r>
        <w:rPr>
          <w:rFonts w:ascii="Times New Roman" w:hAnsi="Times New Roman"/>
          <w:sz w:val="28"/>
          <w:szCs w:val="28"/>
          <w14:ligatures w14:val="none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pStyle w:val="873"/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before="0" w:after="0" w:line="240" w:lineRule="auto"/>
        <w:ind w:left="0" w:right="0" w:firstLine="709"/>
        <w:contextualSpacing w:val="0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  <w:br/>
        <w:t xml:space="preserve">на </w:t>
      </w:r>
      <w:r>
        <w:rPr>
          <w:rFonts w:ascii="Times New Roman" w:hAnsi="Times New Roman"/>
          <w:sz w:val="28"/>
          <w:szCs w:val="28"/>
        </w:rPr>
        <w:t xml:space="preserve">заместителя Губернатора Белгородской области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руководителя Администрации Губернатора Белгородской области</w:t>
      </w:r>
      <w:r>
        <w:rPr>
          <w:rFonts w:ascii="Times New Roman" w:hAnsi="Times New Roman"/>
          <w:sz w:val="28"/>
          <w:szCs w:val="28"/>
        </w:rPr>
        <w:t xml:space="preserve"> Лоренца А.А.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Положени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о региональном государственном контроле (надзоре) </w:t>
        <w:br/>
        <w:t xml:space="preserve">на автомобильном транспорте, городском наземном электрическом транспорте и в дорожном хозяйстве на территории Белгородской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(далее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Положение), утвержденное в пункте 1 постановления: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пункт 4.5 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Положения дополнить подпунктами 6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7 следующего содержания: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«6)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аличие у Министерства сведений об осуществлении деятельности </w:t>
        <w:br/>
        <w:t xml:space="preserve">без уведомления о начале осуществления предпринимательской деятельности, установленных </w:t>
      </w:r>
      <w:hyperlink r:id="rId13" w:tooltip="https://base.garant.ru/12164247/31de5683116b8d79b08fa2d768e33df6/#block_81" w:history="1">
        <w:r>
          <w:rPr>
            <w:rFonts w:ascii="Times New Roman" w:hAnsi="Times New Roman" w:eastAsia="Times New Roman" w:cs="Times New Roman"/>
            <w:color w:val="auto"/>
            <w:sz w:val="28"/>
            <w:szCs w:val="28"/>
          </w:rPr>
          <w:t xml:space="preserve">частью 1 статьи 8</w:t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</w:t>
        <w:br/>
        <w:t xml:space="preserve">и муниципального контроля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»,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 случае, если представление такого уведомления является обязательным, или без лицензии, предусмотренной Федеральным законом от 4 мая 2011 года № 99-ФЗ «О лицензировании отдельных видов деятельности»;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7) 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клонение контролируемого лица от проведения обязательного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проф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илактического визита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.»;</w:t>
      </w:r>
      <w:r>
        <w:rPr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auto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пункт 4.7 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 дополнить девятым абзацем следующего содержания: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auto"/>
        </w:rPr>
      </w:r>
    </w:p>
    <w:p>
      <w:pPr>
        <w:suppressLineNumbers w:val="0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«Осмотр, опрос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э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кспертиза может осуществляться с использованием средств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дистанцио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нного взаимодействия, в том числе посредством </w:t>
        <w:br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видео-конференц-связи, а также с использованием мобильного приложения «Инспектор».»; 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4.15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исключить;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пункты 4.16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4.64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считать пунктами 4.15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4.63 соответственно;</w:t>
      </w:r>
      <w:r>
        <w:rPr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8"/>
        <w:contextualSpacing/>
        <w:jc w:val="both"/>
        <w:rPr>
          <w:rFonts w:ascii="Times New Roman" w:hAnsi="Times New Roman" w:eastAsia="PT Serif" w:cs="Times New Roman"/>
          <w:color w:val="000000"/>
          <w:highlight w:val="whit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пункте 4.18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слова «пунктом 4.17» заменить словами «пунктом 4.16»;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PT Serif" w:cs="Times New Roman"/>
          <w:color w:val="000000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/>
          <w:highlight w:val="whit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пунктах 4.30, 4.32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слова «пунктом 4.26» заменить словами «пунктом 4.25»;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PT Serif" w:cs="Times New Roman"/>
          <w:color w:val="000000"/>
          <w:highlight w:val="whit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4.32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4.32.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Ми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нистерство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при поступлении сведений, предусмотренных </w:t>
      </w:r>
      <w:hyperlink r:id="rId14" w:tooltip="https://internet.garant.ru/#/document/74449814/entry/60001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</w:rPr>
          <w:t xml:space="preserve">частью 1 статьи 60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Закона № 248-ФЗ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(надзорного) мероприятия незамедлительно (в течение двадцат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 четырех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</w:t>
      </w:r>
      <w:hyperlink r:id="rId15" w:tooltip="https://internet.garant.ru/#/document/74449814/entry/6605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</w:rPr>
          <w:t xml:space="preserve">частью</w:t>
        </w:r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  <w:highlight w:val="white"/>
          </w:rPr>
          <w:t xml:space="preserve"> 5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статьи 66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Закона № 248-ФЗ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. В этом случае контролируемое лицо может не уведомляться о проведении внепланового контрольного (надзорного) мероприятия.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highlight w:val="white"/>
        </w:rPr>
      </w:r>
      <w:r>
        <w:rPr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/>
          <w:highlight w:val="whit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пункте 4.33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слова «в пункте 4.33» заменить словами «в пункте 4.32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»;</w:t>
      </w:r>
      <w:r>
        <w:rPr>
          <w:rFonts w:ascii="Times New Roman" w:hAnsi="Times New Roman" w:eastAsia="PT Serif" w:cs="Times New Roman"/>
          <w:color w:val="000000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PT Serif" w:cs="Times New Roman"/>
          <w:color w:val="000000"/>
          <w:highlight w:val="whit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4.35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4.35. Инспекцион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ный визит проводится по месту нахождения (месту осуществления деятельности) контролируемого лица (его филиалов, представительств, обособленных структурных подразделений) либо объекта контроля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 может осуществляться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с использованием средств дистанционного взаимодействия, в том числе пос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редством видео-конференц-связи, а также </w:t>
        <w:br/>
        <w:t xml:space="preserve">с использованием мобильного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приложения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Инспектор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4.52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4.52.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случае е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сли в ходе документарной проверки выявлены ошибки </w:t>
        <w:br/>
        <w:t xml:space="preserve">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Министерства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документах и (или) полученным при осуществлении регионального государственного контроля (надзора),  информация об ошибках, о противоречиях и несоответствии сведений направляется контролируемому лицу с требованием представить </w:t>
        <w:br/>
        <w:t xml:space="preserve">в те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чение 10 (десяти) рабочих дней необходимые письменные объяснения. Контролируемое лицо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вправе дополнительно пред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ставить в Министерство документы,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подтверждающие достоверность ранее представленных документов.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4.54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4.54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рок проведения документарной проверки не может превышать         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10 (десять) рабочих дней. На период с момента направления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Министерств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ом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контролируемому лицу требования представить необходимые </w:t>
        <w:br/>
        <w:t xml:space="preserve">для рассмотрения в ходе документарной проверки документы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до момента представления указанных в требовании документов в Министерство, а также период с момента направления контролируемому лицу информации Министерства о выявлении ошибок и (или) противоречий в представленных контр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олируемым лицом документах либо о несоответствии сведений, содержащихся в этих документах, сведениям, содержащимся в имеющихся </w:t>
        <w:br/>
        <w:t xml:space="preserve">у Министерства документах и (или) полученным при осуществлении регионального государственного контроля (надзора)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и требования представить необходимые письменные объяснения до момента представления указанных письменных объяснений в Министерство исчисление срока проведения документарной проверки приостанавливается.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4.57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color w:val="000000" w:themeColor="text1"/>
          <w:highlight w:val="whit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«4.57.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Выездная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проверка проводится по месту нахождения (месту осуществления деятельности) контролируемого лица (его филиалов, представительств, обо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собленных структурных подразделений) либо объекта контроля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и может осуществляться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с использованием средств дистанционного взаимодействия, в том числе пос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редством видео-конференц-связи, а также </w:t>
        <w:br/>
        <w:t xml:space="preserve">с использованием мобильного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приложения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Инспектор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».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highlight w:val="white"/>
        </w:rPr>
      </w:r>
      <w:r>
        <w:rPr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пункте 4.58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раздела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IV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Положения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слова «в пункте 4.58» заменить словами «в пункте 4.57»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пункт 5.2 раздела V Положения изложить в следующей редакции:</w:t>
      </w:r>
      <w:r>
        <w:rPr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5.2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о окончании проведения контрольного (надзорного) мероприятия, предусматривающего взаимодействие с контролируемым лицом, составляется акт контрольного (надзорного) мероприятия (далее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highlight w:val="white"/>
        </w:rPr>
        <w:t xml:space="preserve">–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акт). В случае если </w:t>
        <w:br/>
        <w:t xml:space="preserve">по результатам проведения такого мероприятия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</w:t>
        <w:br/>
        <w:t xml:space="preserve">и его структурной единицей оно установлено. В случае устранения выявленного нарушения до окончания пров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едения контрольного (надзорного) мероприятия, предусматривающего взаимодействие с контролируемым лицом, в акте указывается факт его устранения.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Заполненные при проведении контрольного (надзорного) мероприятия проверочные листы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, документы, иные материалы, являющиеся доказательствами нарушения обязательных требований, должны быть приобщены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к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акту. По результатам проведения контрольного (надзорного) мероприятия без взаимодействия акт составляется </w:t>
        <w:br/>
        <w:t xml:space="preserve">в случае выявления нарушений обязат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ельных требований.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пункт 5.3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раздела V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 Положения изложить в следующей редакции:</w:t>
      </w:r>
      <w:r>
        <w:rPr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5.3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Оф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ормление акта производится на месте проведения контрольного (надзорного) мероприятия в день окончания проведения такого мероприятия либо не позднее дня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, следующего за днем окончания проведения такого мероприятия, если составление акта на месте проведения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такого мероприятия невозможно по причинам, установленным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Законом № 248-ФЗ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, если иной порядок оформления акта не установлен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Законом № 248-ФЗ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или Правительством Российской Федерации.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  <w:t xml:space="preserve">;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раздел V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Положения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дополнить пунктом 5.4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следующего содержания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5.4.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случае невозможности составления акта на месте проведения кон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трольного (надзорного) мероприятия в день окончания проведения такого мероприятия в соответствии с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hyperlink r:id="rId16" w:tooltip="https://internet.garant.ru/#/document/74449814/entry/8703" w:history="1"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частью 3 статьи 87</w:t>
        </w:r>
      </w:hyperlink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Закона № 248-ФЗ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контролируемое лицо не подписывает акт и считается получившим акт в случае его размещения в едином реестре контрольных (надзорных) мероприятий </w:t>
        <w:br/>
        <w:t xml:space="preserve">и получения уведомления об этом в порядке, предусмотренном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br/>
      </w:r>
      <w:hyperlink r:id="rId17" w:tooltip="https://internet.garant.ru/#/document/74449814/entry/210502" w:history="1"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пунктом 2 части </w:t>
        </w:r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</w:rPr>
          <w:t xml:space="preserve">5 статьи 21</w:t>
        </w:r>
      </w:hyperlink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Закона № 248-ФЗ.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;</w:t>
      </w:r>
      <w:r>
        <w:rPr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пункты 5.4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5.8 раздела V Положения считать пунктами 5.5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5.9 соответственно;</w:t>
      </w:r>
      <w:r>
        <w:rPr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14:ligatures w14:val="none"/>
        </w:rPr>
      </w:r>
    </w:p>
    <w:p>
      <w:pP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подпункт 1 пункта 5.8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раздела V Положения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  <w:t xml:space="preserve">«1)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ыдать после оформления акта контрольного (надзорного) мероприятия контролируемому лицу предписание об устранении выявленных нарушений обязательных требований с указанием разумных сроков </w:t>
        <w:br/>
        <w:t xml:space="preserve">их устранения, а также других мероприятий, предусмотренных федеральны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м законом о виде контроля;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».</w:t>
      </w:r>
      <w:r>
        <w:rPr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hd w:val="clear" w:color="ffffff" w:themeColor="background1" w:fill="ffffff" w:themeFill="background1"/>
        <w:spacing w:line="240" w:lineRule="auto"/>
        <w:ind w:left="0" w:right="0"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2. Контроль за исполнением постановления возложить</w:t>
      </w:r>
      <w:bookmarkStart w:id="0" w:name="_GoBack"/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bookmarkEnd w:id="0"/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на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заместителя Губернатора Белгородской области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руководителя Администрации Губернатора Белгородской области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Лоренца А.А.</w:t>
      </w:r>
      <w:r>
        <w:rPr>
          <w:color w:val="000000" w:themeColor="text1"/>
        </w:rPr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</w:p>
    <w:p>
      <w:pPr>
        <w:shd w:val="clear" w:color="ffffff" w:themeColor="background1" w:fill="ffffff" w:themeFill="background1"/>
        <w:spacing w:before="0" w:after="0" w:line="240" w:lineRule="auto"/>
        <w:ind w:firstLine="709"/>
        <w:jc w:val="both"/>
        <w:rPr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Настоящее постановление вступает в силу со дня его официального опубликования.</w:t>
      </w:r>
      <w:r>
        <w:rPr>
          <w:color w:val="000000" w:themeColor="text1"/>
        </w:rPr>
      </w:r>
      <w:r>
        <w:rPr>
          <w:color w:val="000000" w:themeColor="text1"/>
          <w:highlight w:val="none"/>
        </w:rPr>
      </w:r>
    </w:p>
    <w:p>
      <w:pPr>
        <w:shd w:val="clear" w:color="ffffff" w:themeColor="background1" w:fill="ffffff" w:themeFill="background1"/>
        <w:spacing w:before="0"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r>
        <w:rPr>
          <w:color w:val="000000" w:themeColor="text1"/>
        </w:rPr>
      </w: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shd w:val="clear" w:color="ffffff" w:themeColor="background1" w:fill="ffffff" w:themeFill="background1"/>
        <w:spacing w:before="0"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  <w:r>
        <w:rPr>
          <w:rFonts w:ascii="Times New Roman" w:hAnsi="Times New Roman"/>
          <w:color w:val="auto"/>
          <w:sz w:val="28"/>
          <w:szCs w:val="28"/>
        </w:rPr>
      </w:r>
    </w:p>
    <w:p>
      <w:pPr>
        <w:pStyle w:val="107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98"/>
        <w:gridCol w:w="4991"/>
      </w:tblGrid>
      <w:tr>
        <w:trPr/>
        <w:tc>
          <w:tcPr>
            <w:tcW w:w="4898" w:type="dxa"/>
            <w:shd w:val="clear" w:color="auto" w:fill="auto"/>
            <w:noWrap w:val="false"/>
            <w:textDirection w:val="lrTb"/>
          </w:tcPr>
          <w:p>
            <w:pPr>
              <w:pStyle w:val="1073"/>
              <w:ind w:firstLine="709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Губернатор</w:t>
            </w:r>
            <w:r>
              <w:rPr>
                <w:b/>
                <w:bCs/>
                <w:szCs w:val="28"/>
              </w:rPr>
            </w:r>
            <w:r>
              <w:rPr>
                <w:b/>
                <w:bCs/>
                <w:szCs w:val="28"/>
              </w:rPr>
            </w:r>
          </w:p>
          <w:p>
            <w:pPr>
              <w:pStyle w:val="1073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Белгородской области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4990" w:type="dxa"/>
            <w:shd w:val="clear" w:color="auto" w:fill="auto"/>
            <w:noWrap w:val="false"/>
            <w:textDirection w:val="lrTb"/>
            <w:vAlign w:val="bottom"/>
          </w:tcPr>
          <w:p>
            <w:pPr>
              <w:pStyle w:val="1073"/>
              <w:jc w:val="right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В.В. Гладков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</w:tr>
    </w:tbl>
    <w:p>
      <w:pPr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Symbol">
    <w:panose1 w:val="05010000000000000000"/>
  </w:font>
  <w:font w:name="Wingdings">
    <w:panose1 w:val="05010000000000000000"/>
  </w:font>
  <w:font w:name="PT Serif">
    <w:panose1 w:val="020A0603040505020204"/>
  </w:font>
  <w:font w:name="Courier New">
    <w:panose1 w:val="02070309020205020404"/>
  </w:font>
  <w:font w:name="Noto Sans Devanagari">
    <w:panose1 w:val="020B0502040504020204"/>
  </w:font>
  <w:font w:name="Tahoma">
    <w:panose1 w:val="020B06040305040402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8"/>
      <w:ind w:left="-142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>
      <w:rPr>
        <w:rFonts w:ascii="Times New Roman" w:hAnsi="Times New Roman"/>
        <w:sz w:val="24"/>
        <w:szCs w:val="24"/>
      </w:rPr>
    </w:r>
  </w:p>
  <w:p>
    <w:pPr>
      <w:pStyle w:val="1068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6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8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8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5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7"/>
  </w:num>
  <w:num w:numId="5">
    <w:abstractNumId w:val="16"/>
  </w:num>
  <w:num w:numId="6">
    <w:abstractNumId w:val="15"/>
  </w:num>
  <w:num w:numId="7">
    <w:abstractNumId w:val="4"/>
  </w:num>
  <w:num w:numId="8">
    <w:abstractNumId w:val="14"/>
  </w:num>
  <w:num w:numId="9">
    <w:abstractNumId w:val="8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9"/>
  </w:num>
  <w:num w:numId="15">
    <w:abstractNumId w:val="5"/>
  </w:num>
  <w:num w:numId="16">
    <w:abstractNumId w:val="3"/>
  </w:num>
  <w:num w:numId="17">
    <w:abstractNumId w:val="11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72" w:default="1">
    <w:name w:val="Normal"/>
    <w:qFormat/>
    <w:pPr>
      <w:widowControl/>
      <w:spacing w:before="0" w:after="160" w:line="259" w:lineRule="auto"/>
      <w:jc w:val="left"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873">
    <w:name w:val="Heading 1"/>
    <w:basedOn w:val="872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74">
    <w:name w:val="Heading 2"/>
    <w:basedOn w:val="87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75">
    <w:name w:val="Heading 3"/>
    <w:basedOn w:val="872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76">
    <w:name w:val="Heading 4"/>
    <w:basedOn w:val="872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77">
    <w:name w:val="Heading 5"/>
    <w:basedOn w:val="87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78">
    <w:name w:val="Heading 6"/>
    <w:basedOn w:val="872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79">
    <w:name w:val="Heading 7"/>
    <w:basedOn w:val="872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80">
    <w:name w:val="Heading 8"/>
    <w:basedOn w:val="872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81">
    <w:name w:val="Heading 9"/>
    <w:basedOn w:val="872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82" w:default="1">
    <w:name w:val="Default Paragraph Font"/>
    <w:uiPriority w:val="1"/>
    <w:semiHidden/>
    <w:unhideWhenUsed/>
    <w:qFormat/>
  </w:style>
  <w:style w:type="table" w:styleId="883" w:default="1">
    <w:name w:val="Normal Table"/>
    <w:uiPriority w:val="99"/>
    <w:semiHidden/>
    <w:unhideWhenUsed/>
    <w:tblPr/>
  </w:style>
  <w:style w:type="numbering" w:styleId="884" w:default="1">
    <w:name w:val="No List"/>
    <w:uiPriority w:val="99"/>
    <w:semiHidden/>
    <w:unhideWhenUsed/>
    <w:qFormat/>
  </w:style>
  <w:style w:type="table" w:styleId="88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6" w:customStyle="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sz="4" w:space="0"/>
        <w:bottom w:val="single" w:color="000000" w:themeColor="text1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89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0" w:customStyle="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1" w:customStyle="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2" w:customStyle="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3" w:customStyle="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4" w:customStyle="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5" w:customStyle="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7" w:customStyle="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8" w:customStyle="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09" w:customStyle="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10" w:customStyle="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11" w:customStyle="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12" w:customStyle="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91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4" w:customStyle="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5" w:customStyle="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 w:customStyle="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7" w:customStyle="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 w:customStyle="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9" w:customStyle="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2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921" w:customStyle="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922" w:customStyle="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923" w:customStyle="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924" w:customStyle="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925" w:customStyle="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926" w:customStyle="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92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8" w:customStyle="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9" w:customStyle="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0" w:customStyle="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1" w:customStyle="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2" w:customStyle="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266779" w:themeColor="accent5" w:themeShade="95"/>
        <w:sz w:val="22"/>
      </w:rPr>
    </w:tblStylePr>
  </w:style>
  <w:style w:type="table" w:styleId="933" w:customStyle="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266779" w:themeColor="accent5" w:themeShade="95"/>
        <w:sz w:val="22"/>
      </w:rPr>
    </w:tblStylePr>
  </w:style>
  <w:style w:type="table" w:styleId="93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35" w:customStyle="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36" w:customStyle="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37" w:customStyle="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38" w:customStyle="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39" w:customStyle="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40" w:customStyle="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94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9" w:customStyle="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50" w:customStyle="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51" w:customStyle="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52" w:customStyle="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53" w:customStyle="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54" w:customStyle="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 w:customStyle="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 w:customStyle="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 w:customStyle="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 w:customStyle="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 w:customStyle="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 w:customStyle="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0" w:customStyle="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1" w:customStyle="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2" w:customStyle="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3" w:customStyle="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4" w:customStyle="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5" w:customStyle="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7" w:customStyle="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8" w:customStyle="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9" w:customStyle="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80" w:customStyle="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81" w:customStyle="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82" w:customStyle="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8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84" w:customStyle="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85" w:customStyle="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86" w:customStyle="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87" w:customStyle="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88" w:customStyle="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89" w:customStyle="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90" w:customStyle="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1" w:customStyle="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2" w:customStyle="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93" w:customStyle="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94" w:customStyle="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95" w:customStyle="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96" w:customStyle="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7" w:customStyle="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8" w:customStyle="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9" w:customStyle="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000" w:customStyle="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001" w:customStyle="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002" w:customStyle="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03" w:customStyle="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04" w:customStyle="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5" w:customStyle="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6" w:customStyle="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7" w:customStyle="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8" w:customStyle="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9" w:customStyle="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10" w:customStyle="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11" w:customStyle="1">
    <w:name w:val="Heading 1 Char"/>
    <w:basedOn w:val="882"/>
    <w:uiPriority w:val="9"/>
    <w:qFormat/>
    <w:rPr>
      <w:rFonts w:ascii="Arial" w:hAnsi="Arial" w:eastAsia="Arial" w:cs="Arial"/>
      <w:sz w:val="40"/>
      <w:szCs w:val="40"/>
    </w:rPr>
  </w:style>
  <w:style w:type="character" w:styleId="1012" w:customStyle="1">
    <w:name w:val="Heading 2 Char"/>
    <w:basedOn w:val="882"/>
    <w:uiPriority w:val="9"/>
    <w:qFormat/>
    <w:rPr>
      <w:rFonts w:ascii="Arial" w:hAnsi="Arial" w:eastAsia="Arial" w:cs="Arial"/>
      <w:sz w:val="34"/>
    </w:rPr>
  </w:style>
  <w:style w:type="character" w:styleId="1013" w:customStyle="1">
    <w:name w:val="Heading 3 Char"/>
    <w:basedOn w:val="882"/>
    <w:uiPriority w:val="9"/>
    <w:qFormat/>
    <w:rPr>
      <w:rFonts w:ascii="Arial" w:hAnsi="Arial" w:eastAsia="Arial" w:cs="Arial"/>
      <w:sz w:val="30"/>
      <w:szCs w:val="30"/>
    </w:rPr>
  </w:style>
  <w:style w:type="character" w:styleId="1014" w:customStyle="1">
    <w:name w:val="Heading 4 Char"/>
    <w:basedOn w:val="882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1015" w:customStyle="1">
    <w:name w:val="Heading 5 Char"/>
    <w:basedOn w:val="88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1016" w:customStyle="1">
    <w:name w:val="Heading 6 Char"/>
    <w:basedOn w:val="882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1017" w:customStyle="1">
    <w:name w:val="Heading 7 Char"/>
    <w:basedOn w:val="882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1018" w:customStyle="1">
    <w:name w:val="Heading 8 Char"/>
    <w:basedOn w:val="882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1019" w:customStyle="1">
    <w:name w:val="Heading 9 Char"/>
    <w:basedOn w:val="882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020" w:customStyle="1">
    <w:name w:val="Title Char"/>
    <w:basedOn w:val="882"/>
    <w:uiPriority w:val="10"/>
    <w:qFormat/>
    <w:rPr>
      <w:sz w:val="48"/>
      <w:szCs w:val="48"/>
    </w:rPr>
  </w:style>
  <w:style w:type="character" w:styleId="1021" w:customStyle="1">
    <w:name w:val="Subtitle Char"/>
    <w:basedOn w:val="882"/>
    <w:uiPriority w:val="11"/>
    <w:qFormat/>
    <w:rPr>
      <w:sz w:val="24"/>
      <w:szCs w:val="24"/>
    </w:rPr>
  </w:style>
  <w:style w:type="character" w:styleId="1022" w:customStyle="1">
    <w:name w:val="Quote Char"/>
    <w:uiPriority w:val="29"/>
    <w:qFormat/>
    <w:rPr>
      <w:i/>
    </w:rPr>
  </w:style>
  <w:style w:type="character" w:styleId="1023" w:customStyle="1">
    <w:name w:val="Intense Quote Char"/>
    <w:uiPriority w:val="30"/>
    <w:qFormat/>
    <w:rPr>
      <w:i/>
    </w:rPr>
  </w:style>
  <w:style w:type="character" w:styleId="1024" w:customStyle="1">
    <w:name w:val="Header Char"/>
    <w:basedOn w:val="882"/>
    <w:uiPriority w:val="99"/>
    <w:qFormat/>
  </w:style>
  <w:style w:type="character" w:styleId="1025" w:customStyle="1">
    <w:name w:val="Footer Char"/>
    <w:basedOn w:val="882"/>
    <w:uiPriority w:val="99"/>
    <w:qFormat/>
  </w:style>
  <w:style w:type="character" w:styleId="1026" w:customStyle="1">
    <w:name w:val="Caption Char"/>
    <w:uiPriority w:val="99"/>
    <w:qFormat/>
  </w:style>
  <w:style w:type="character" w:styleId="1027">
    <w:name w:val="Hyperlink"/>
    <w:uiPriority w:val="99"/>
    <w:unhideWhenUsed/>
    <w:rPr>
      <w:color w:val="0000ff" w:themeColor="hyperlink"/>
      <w:u w:val="single"/>
    </w:rPr>
  </w:style>
  <w:style w:type="character" w:styleId="1028" w:customStyle="1">
    <w:name w:val="Footnote Text Char"/>
    <w:uiPriority w:val="99"/>
    <w:qFormat/>
    <w:rPr>
      <w:sz w:val="18"/>
    </w:rPr>
  </w:style>
  <w:style w:type="character" w:styleId="1029" w:customStyle="1">
    <w:name w:val="Символ сноски"/>
    <w:uiPriority w:val="99"/>
    <w:unhideWhenUsed/>
    <w:qFormat/>
    <w:rPr>
      <w:vertAlign w:val="superscript"/>
    </w:rPr>
  </w:style>
  <w:style w:type="character" w:styleId="1030">
    <w:name w:val="footnote reference"/>
    <w:rPr>
      <w:vertAlign w:val="superscript"/>
    </w:rPr>
  </w:style>
  <w:style w:type="character" w:styleId="1031" w:customStyle="1">
    <w:name w:val="Endnote Text Char"/>
    <w:uiPriority w:val="99"/>
    <w:qFormat/>
    <w:rPr>
      <w:sz w:val="20"/>
    </w:rPr>
  </w:style>
  <w:style w:type="character" w:styleId="1032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1033">
    <w:name w:val="endnote reference"/>
    <w:rPr>
      <w:vertAlign w:val="superscript"/>
    </w:rPr>
  </w:style>
  <w:style w:type="character" w:styleId="1034" w:customStyle="1">
    <w:name w:val="Текст выноски Знак"/>
    <w:uiPriority w:val="99"/>
    <w:semiHidden/>
    <w:qFormat/>
    <w:rPr>
      <w:rFonts w:ascii="Segoe UI" w:hAnsi="Segoe UI" w:cs="Segoe UI"/>
      <w:sz w:val="18"/>
      <w:szCs w:val="18"/>
    </w:rPr>
  </w:style>
  <w:style w:type="character" w:styleId="1035" w:customStyle="1">
    <w:name w:val="Верхний колонтитул Знак"/>
    <w:basedOn w:val="882"/>
    <w:uiPriority w:val="99"/>
    <w:qFormat/>
  </w:style>
  <w:style w:type="character" w:styleId="1036" w:customStyle="1">
    <w:name w:val="Нижний колонтитул Знак"/>
    <w:basedOn w:val="882"/>
    <w:uiPriority w:val="99"/>
    <w:qFormat/>
  </w:style>
  <w:style w:type="character" w:styleId="1037" w:customStyle="1">
    <w:name w:val="Основной текст 2 Знак"/>
    <w:qFormat/>
    <w:rPr>
      <w:rFonts w:ascii="Times New Roman" w:hAnsi="Times New Roman" w:eastAsia="Times New Roman"/>
      <w:sz w:val="28"/>
    </w:rPr>
  </w:style>
  <w:style w:type="character" w:styleId="1038" w:customStyle="1">
    <w:name w:val="Основной текст 3 Знак"/>
    <w:uiPriority w:val="99"/>
    <w:semiHidden/>
    <w:qFormat/>
    <w:rPr>
      <w:sz w:val="16"/>
      <w:szCs w:val="16"/>
      <w:lang w:eastAsia="en-US"/>
    </w:rPr>
  </w:style>
  <w:style w:type="paragraph" w:styleId="1039" w:customStyle="1">
    <w:name w:val="Заголовок"/>
    <w:basedOn w:val="872"/>
    <w:next w:val="1040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040">
    <w:name w:val="Body Text"/>
    <w:basedOn w:val="872"/>
    <w:pPr>
      <w:spacing w:before="0" w:after="140" w:line="276" w:lineRule="auto"/>
    </w:pPr>
  </w:style>
  <w:style w:type="paragraph" w:styleId="1041">
    <w:name w:val="List"/>
    <w:basedOn w:val="1040"/>
    <w:rPr>
      <w:rFonts w:ascii="PT Astra Serif" w:hAnsi="PT Astra Serif" w:cs="Noto Sans Devanagari"/>
    </w:rPr>
  </w:style>
  <w:style w:type="paragraph" w:styleId="1042">
    <w:name w:val="Caption"/>
    <w:basedOn w:val="872"/>
    <w:link w:val="10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043" w:customStyle="1">
    <w:name w:val="Указатель"/>
    <w:basedOn w:val="872"/>
    <w:qFormat/>
    <w:pPr>
      <w:suppressLineNumbers/>
    </w:pPr>
    <w:rPr>
      <w:rFonts w:ascii="PT Astra Serif" w:hAnsi="PT Astra Serif" w:cs="Noto Sans Devanagari"/>
    </w:rPr>
  </w:style>
  <w:style w:type="paragraph" w:styleId="1044">
    <w:name w:val="List Paragraph"/>
    <w:basedOn w:val="872"/>
    <w:uiPriority w:val="34"/>
    <w:qFormat/>
    <w:pPr>
      <w:spacing w:before="0" w:after="0"/>
      <w:ind w:left="720"/>
      <w:contextualSpacing/>
    </w:pPr>
  </w:style>
  <w:style w:type="paragraph" w:styleId="1045">
    <w:name w:val="No Spacing"/>
    <w:uiPriority w:val="1"/>
    <w:qFormat/>
    <w:pPr>
      <w:widowControl/>
      <w:spacing w:before="0" w:after="0" w:line="240" w:lineRule="auto"/>
      <w:jc w:val="left"/>
    </w:pPr>
    <w:rPr>
      <w:rFonts w:ascii="Calibri" w:hAnsi="Calibri" w:eastAsia="Calibri" w:cs="Times New Roman"/>
      <w:color w:val="auto"/>
      <w:sz w:val="20"/>
      <w:szCs w:val="20"/>
      <w:lang w:val="ru-RU" w:eastAsia="ru-RU" w:bidi="ar-SA"/>
    </w:rPr>
  </w:style>
  <w:style w:type="paragraph" w:styleId="1046">
    <w:name w:val="Title"/>
    <w:basedOn w:val="872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1047">
    <w:name w:val="Subtitle"/>
    <w:basedOn w:val="872"/>
    <w:uiPriority w:val="11"/>
    <w:qFormat/>
    <w:pPr>
      <w:spacing w:before="200" w:after="200"/>
    </w:pPr>
    <w:rPr>
      <w:sz w:val="24"/>
      <w:szCs w:val="24"/>
    </w:rPr>
  </w:style>
  <w:style w:type="paragraph" w:styleId="1048">
    <w:name w:val="Quote"/>
    <w:basedOn w:val="872"/>
    <w:uiPriority w:val="29"/>
    <w:qFormat/>
    <w:pPr>
      <w:ind w:left="720" w:right="720"/>
    </w:pPr>
    <w:rPr>
      <w:i/>
    </w:rPr>
  </w:style>
  <w:style w:type="paragraph" w:styleId="1049">
    <w:name w:val="Intense Quote"/>
    <w:basedOn w:val="872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 w:before="0" w:after="0"/>
      <w:ind w:left="720" w:right="720"/>
    </w:pPr>
    <w:rPr>
      <w:i/>
    </w:rPr>
  </w:style>
  <w:style w:type="paragraph" w:styleId="1050">
    <w:name w:val="footnote text"/>
    <w:basedOn w:val="872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1051">
    <w:name w:val="endnote text"/>
    <w:basedOn w:val="872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1052">
    <w:name w:val="toc 1"/>
    <w:basedOn w:val="872"/>
    <w:uiPriority w:val="39"/>
    <w:unhideWhenUsed/>
    <w:pPr>
      <w:spacing w:before="0" w:after="57"/>
      <w:ind w:left="0" w:right="0" w:firstLine="0"/>
    </w:pPr>
  </w:style>
  <w:style w:type="paragraph" w:styleId="1053">
    <w:name w:val="toc 2"/>
    <w:basedOn w:val="872"/>
    <w:uiPriority w:val="39"/>
    <w:unhideWhenUsed/>
    <w:pPr>
      <w:spacing w:before="0" w:after="57"/>
      <w:ind w:left="283" w:right="0" w:firstLine="0"/>
    </w:pPr>
  </w:style>
  <w:style w:type="paragraph" w:styleId="1054">
    <w:name w:val="toc 3"/>
    <w:basedOn w:val="872"/>
    <w:uiPriority w:val="39"/>
    <w:unhideWhenUsed/>
    <w:pPr>
      <w:spacing w:before="0" w:after="57"/>
      <w:ind w:left="567" w:right="0" w:firstLine="0"/>
    </w:pPr>
  </w:style>
  <w:style w:type="paragraph" w:styleId="1055">
    <w:name w:val="toc 4"/>
    <w:basedOn w:val="872"/>
    <w:uiPriority w:val="39"/>
    <w:unhideWhenUsed/>
    <w:pPr>
      <w:spacing w:before="0" w:after="57"/>
      <w:ind w:left="850" w:right="0" w:firstLine="0"/>
    </w:pPr>
  </w:style>
  <w:style w:type="paragraph" w:styleId="1056">
    <w:name w:val="toc 5"/>
    <w:basedOn w:val="872"/>
    <w:uiPriority w:val="39"/>
    <w:unhideWhenUsed/>
    <w:pPr>
      <w:spacing w:before="0" w:after="57"/>
      <w:ind w:left="1134" w:right="0" w:firstLine="0"/>
    </w:pPr>
  </w:style>
  <w:style w:type="paragraph" w:styleId="1057">
    <w:name w:val="toc 6"/>
    <w:basedOn w:val="872"/>
    <w:uiPriority w:val="39"/>
    <w:unhideWhenUsed/>
    <w:pPr>
      <w:spacing w:before="0" w:after="57"/>
      <w:ind w:left="1417" w:right="0" w:firstLine="0"/>
    </w:pPr>
  </w:style>
  <w:style w:type="paragraph" w:styleId="1058">
    <w:name w:val="toc 7"/>
    <w:basedOn w:val="872"/>
    <w:uiPriority w:val="39"/>
    <w:unhideWhenUsed/>
    <w:pPr>
      <w:spacing w:before="0" w:after="57"/>
      <w:ind w:left="1701" w:right="0" w:firstLine="0"/>
    </w:pPr>
  </w:style>
  <w:style w:type="paragraph" w:styleId="1059">
    <w:name w:val="toc 8"/>
    <w:basedOn w:val="872"/>
    <w:uiPriority w:val="39"/>
    <w:unhideWhenUsed/>
    <w:pPr>
      <w:spacing w:before="0" w:after="57"/>
      <w:ind w:left="1984" w:right="0" w:firstLine="0"/>
    </w:pPr>
  </w:style>
  <w:style w:type="paragraph" w:styleId="1060">
    <w:name w:val="toc 9"/>
    <w:basedOn w:val="872"/>
    <w:uiPriority w:val="39"/>
    <w:unhideWhenUsed/>
    <w:pPr>
      <w:spacing w:before="0" w:after="57"/>
      <w:ind w:left="2268" w:right="0" w:firstLine="0"/>
    </w:pPr>
  </w:style>
  <w:style w:type="paragraph" w:styleId="1061">
    <w:name w:val="index heading"/>
    <w:basedOn w:val="1039"/>
  </w:style>
  <w:style w:type="paragraph" w:styleId="1062">
    <w:name w:val="TOC Heading"/>
    <w:uiPriority w:val="39"/>
    <w:unhideWhenUsed/>
    <w:qFormat/>
    <w:pPr>
      <w:widowControl/>
      <w:spacing w:before="0" w:after="0"/>
      <w:jc w:val="left"/>
    </w:pPr>
    <w:rPr>
      <w:rFonts w:ascii="Calibri" w:hAnsi="Calibri" w:eastAsia="Calibri" w:cs="Times New Roman"/>
      <w:color w:val="auto"/>
      <w:sz w:val="20"/>
      <w:szCs w:val="20"/>
      <w:lang w:val="ru-RU" w:eastAsia="ru-RU" w:bidi="ar-SA"/>
    </w:rPr>
  </w:style>
  <w:style w:type="paragraph" w:styleId="1063">
    <w:name w:val="table of figures"/>
    <w:basedOn w:val="872"/>
    <w:uiPriority w:val="99"/>
    <w:unhideWhenUsed/>
    <w:pPr>
      <w:spacing w:before="0" w:after="0" w:afterAutospacing="0"/>
    </w:pPr>
  </w:style>
  <w:style w:type="paragraph" w:styleId="1064" w:customStyle="1">
    <w:name w:val="ConsPlusNormal"/>
    <w:qFormat/>
    <w:pPr>
      <w:widowControl/>
      <w:spacing w:before="0" w:after="0"/>
      <w:jc w:val="left"/>
    </w:pPr>
    <w:rPr>
      <w:rFonts w:ascii="Arial" w:hAnsi="Arial" w:eastAsia="Calibri" w:cs="Arial"/>
      <w:color w:val="auto"/>
      <w:sz w:val="20"/>
      <w:szCs w:val="20"/>
      <w:lang w:val="ru-RU" w:eastAsia="en-US" w:bidi="ar-SA"/>
    </w:rPr>
  </w:style>
  <w:style w:type="paragraph" w:styleId="1065">
    <w:name w:val="Balloon Text"/>
    <w:basedOn w:val="872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1066" w:customStyle="1">
    <w:name w:val="ConsPlusCell"/>
    <w:uiPriority w:val="99"/>
    <w:qFormat/>
    <w:pPr>
      <w:widowControl/>
      <w:spacing w:before="0" w:after="0"/>
      <w:jc w:val="left"/>
    </w:pPr>
    <w:rPr>
      <w:rFonts w:ascii="Courier New" w:hAnsi="Courier New" w:eastAsia="Calibri" w:cs="Courier New"/>
      <w:color w:val="auto"/>
      <w:sz w:val="20"/>
      <w:szCs w:val="20"/>
      <w:lang w:val="ru-RU" w:eastAsia="en-US" w:bidi="ar-SA"/>
    </w:rPr>
  </w:style>
  <w:style w:type="paragraph" w:styleId="1067" w:customStyle="1">
    <w:name w:val="Колонтитул"/>
    <w:basedOn w:val="872"/>
    <w:qFormat/>
  </w:style>
  <w:style w:type="paragraph" w:styleId="1068">
    <w:name w:val="Header"/>
    <w:basedOn w:val="872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  <w:spacing w:before="0" w:after="0" w:line="240" w:lineRule="auto"/>
    </w:pPr>
  </w:style>
  <w:style w:type="paragraph" w:styleId="1069">
    <w:name w:val="Footer"/>
    <w:basedOn w:val="872"/>
    <w:uiPriority w:val="99"/>
    <w:unhideWhenUsed/>
    <w:pPr>
      <w:tabs>
        <w:tab w:val="clear" w:pos="708" w:leader="none"/>
        <w:tab w:val="center" w:pos="4677" w:leader="none"/>
        <w:tab w:val="right" w:pos="9355" w:leader="none"/>
      </w:tabs>
      <w:spacing w:before="0" w:after="0" w:line="240" w:lineRule="auto"/>
    </w:pPr>
  </w:style>
  <w:style w:type="paragraph" w:styleId="1070" w:customStyle="1">
    <w:name w:val="ConsPlusNonformat"/>
    <w:qFormat/>
    <w:pPr>
      <w:widowControl w:val="off"/>
      <w:spacing w:before="0" w:after="0"/>
      <w:jc w:val="left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1071">
    <w:name w:val="Normal (Web)"/>
    <w:basedOn w:val="872"/>
    <w:uiPriority w:val="99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72" w:customStyle="1">
    <w:name w:val="ConsPlusTitle"/>
    <w:qFormat/>
    <w:pPr>
      <w:widowControl w:val="off"/>
      <w:spacing w:before="0" w:after="0"/>
      <w:jc w:val="left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styleId="1073">
    <w:name w:val="Body Text 2"/>
    <w:basedOn w:val="872"/>
    <w:qFormat/>
    <w:pPr>
      <w:spacing w:before="0" w:after="0" w:line="240" w:lineRule="auto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074">
    <w:name w:val="Body Text 3"/>
    <w:basedOn w:val="872"/>
    <w:uiPriority w:val="99"/>
    <w:semiHidden/>
    <w:unhideWhenUsed/>
    <w:qFormat/>
    <w:pPr>
      <w:spacing w:before="0" w:after="120"/>
    </w:pPr>
    <w:rPr>
      <w:sz w:val="16"/>
      <w:szCs w:val="16"/>
    </w:rPr>
  </w:style>
  <w:style w:type="paragraph" w:styleId="1075" w:customStyle="1">
    <w:name w:val="Body Text Indent"/>
    <w:basedOn w:val="1047"/>
    <w:link w:val="1063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120" w:afterAutospacing="0" w:line="240" w:lineRule="auto"/>
      <w:ind w:left="283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https://internet.garant.ru/document/redirect/402958486/0" TargetMode="External"/><Relationship Id="rId13" Type="http://schemas.openxmlformats.org/officeDocument/2006/relationships/hyperlink" Target="https://base.garant.ru/12164247/31de5683116b8d79b08fa2d768e33df6/#block_81" TargetMode="External"/><Relationship Id="rId14" Type="http://schemas.openxmlformats.org/officeDocument/2006/relationships/hyperlink" Target="https://internet.garant.ru/#/document/74449814/entry/60001" TargetMode="External"/><Relationship Id="rId15" Type="http://schemas.openxmlformats.org/officeDocument/2006/relationships/hyperlink" Target="https://internet.garant.ru/#/document/74449814/entry/6605" TargetMode="External"/><Relationship Id="rId16" Type="http://schemas.openxmlformats.org/officeDocument/2006/relationships/hyperlink" Target="https://internet.garant.ru/#/document/74449814/entry/8703" TargetMode="External"/><Relationship Id="rId17" Type="http://schemas.openxmlformats.org/officeDocument/2006/relationships/hyperlink" Target="https://internet.garant.ru/#/document/74449814/entry/21050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46D07-166F-48DF-B63B-DFD0528A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БОФПМСП ОПО</dc:creator>
  <dc:language>ru-RU</dc:language>
  <cp:lastModifiedBy>timoshenko_aa</cp:lastModifiedBy>
  <cp:revision>51</cp:revision>
  <dcterms:created xsi:type="dcterms:W3CDTF">2022-01-25T12:50:00Z</dcterms:created>
  <dcterms:modified xsi:type="dcterms:W3CDTF">2025-12-04T07:46:44Z</dcterms:modified>
</cp:coreProperties>
</file>